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Cosa significa e quali le conseguenze della quotazione dell’acqua in borsa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dicembre 2020 l’acqua è ufficialmente quotata in borsa!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footerReference w:type="default" r:id="rId2"/>
          <w:type w:val="nextPage"/>
          <w:pgSz w:w="11906" w:h="16838"/>
          <w:pgMar w:left="1134" w:right="1134" w:header="0" w:top="1134" w:footer="1134" w:bottom="1982" w:gutter="0"/>
          <w:pgNumType w:fmt="decimal"/>
          <w:formProt w:val="false"/>
          <w:textDirection w:val="lrTb"/>
        </w:sectPr>
      </w:pP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he cosa è successo </w:t>
      </w:r>
      <w:r>
        <w:rPr>
          <w:rFonts w:ascii="Times New Roman" w:hAnsi="Times New Roman"/>
          <w:b/>
          <w:bCs/>
          <w:sz w:val="24"/>
          <w:szCs w:val="24"/>
        </w:rPr>
        <w:t>esattamente?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7 dicembre 2020 inizia la quotazione in borsa dei </w:t>
      </w:r>
      <w:r>
        <w:rPr>
          <w:rFonts w:ascii="Times New Roman" w:hAnsi="Times New Roman"/>
          <w:i/>
          <w:iCs/>
          <w:sz w:val="24"/>
          <w:szCs w:val="24"/>
        </w:rPr>
        <w:t>futures</w:t>
      </w:r>
      <w:r>
        <w:rPr>
          <w:rFonts w:ascii="Times New Roman" w:hAnsi="Times New Roman"/>
          <w:sz w:val="24"/>
          <w:szCs w:val="24"/>
        </w:rPr>
        <w:t xml:space="preserve"> basati sul</w:t>
      </w:r>
      <w:r>
        <w:rPr>
          <w:rFonts w:ascii="Times New Roman" w:hAnsi="Times New Roman"/>
          <w:sz w:val="24"/>
          <w:szCs w:val="24"/>
        </w:rPr>
        <w:t xml:space="preserve"> Nasdaq Veles California Water Index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 la sigla NQH2O.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L’indice </w:t>
      </w:r>
      <w:r>
        <w:rPr>
          <w:rFonts w:ascii="Times New Roman" w:hAnsi="Times New Roman"/>
          <w:sz w:val="24"/>
          <w:szCs w:val="24"/>
        </w:rPr>
        <w:t xml:space="preserve">NQH2O </w:t>
      </w:r>
      <w:r>
        <w:rPr>
          <w:rFonts w:ascii="Times New Roman" w:hAnsi="Times New Roman"/>
          <w:sz w:val="24"/>
          <w:szCs w:val="24"/>
        </w:rPr>
        <w:t xml:space="preserve">traccia il prezzo delle transazioni sui </w:t>
      </w:r>
      <w:r>
        <w:rPr>
          <w:rFonts w:ascii="Times New Roman" w:hAnsi="Times New Roman"/>
          <w:b/>
          <w:bCs/>
          <w:sz w:val="24"/>
          <w:szCs w:val="24"/>
        </w:rPr>
        <w:t xml:space="preserve">diritti idrici </w:t>
      </w:r>
      <w:r>
        <w:rPr>
          <w:rFonts w:ascii="Times New Roman" w:hAnsi="Times New Roman"/>
          <w:b/>
          <w:bCs/>
          <w:sz w:val="24"/>
          <w:szCs w:val="24"/>
        </w:rPr>
        <w:t>di acqua per l’irrigazione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(locazioni e vendite) nelle cinque regioni più grandi e più attivamente negoziate nello stato della California.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L’indice </w:t>
      </w:r>
      <w:r>
        <w:rPr>
          <w:rFonts w:ascii="Times New Roman" w:hAnsi="Times New Roman"/>
          <w:sz w:val="24"/>
          <w:szCs w:val="24"/>
        </w:rPr>
        <w:t xml:space="preserve">NQH2O </w:t>
      </w:r>
      <w:r>
        <w:rPr>
          <w:rFonts w:ascii="Times New Roman" w:hAnsi="Times New Roman"/>
          <w:sz w:val="24"/>
          <w:szCs w:val="24"/>
        </w:rPr>
        <w:t xml:space="preserve">esiste già dal 2018 la novità è che su questo indice è stato ora agganciato un prodotto finanziario, il </w:t>
      </w:r>
      <w:r>
        <w:rPr>
          <w:rFonts w:ascii="Times New Roman" w:hAnsi="Times New Roman"/>
          <w:i/>
          <w:iCs/>
          <w:sz w:val="24"/>
          <w:szCs w:val="24"/>
        </w:rPr>
        <w:t>futures</w:t>
      </w:r>
      <w:r>
        <w:rPr>
          <w:rFonts w:ascii="Times New Roman" w:hAnsi="Times New Roman"/>
          <w:sz w:val="24"/>
          <w:szCs w:val="24"/>
        </w:rPr>
        <w:t>, che è stato quotato ora in borsa.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 contratto </w:t>
      </w:r>
      <w:r>
        <w:rPr>
          <w:rFonts w:ascii="Times New Roman" w:hAnsi="Times New Roman"/>
          <w:i/>
          <w:iCs/>
          <w:sz w:val="24"/>
          <w:szCs w:val="24"/>
        </w:rPr>
        <w:t>Futures</w:t>
      </w:r>
      <w:r>
        <w:rPr>
          <w:rFonts w:ascii="Times New Roman" w:hAnsi="Times New Roman"/>
          <w:sz w:val="24"/>
          <w:szCs w:val="24"/>
        </w:rPr>
        <w:t xml:space="preserve"> è un tipo di strumento derivato molto particolare, dove le due parti si accordano per eseguire una transazione, </w:t>
      </w:r>
      <w:r>
        <w:rPr>
          <w:rFonts w:ascii="Times New Roman" w:hAnsi="Times New Roman"/>
          <w:sz w:val="24"/>
          <w:szCs w:val="24"/>
        </w:rPr>
        <w:t>in questo caso su un diritto idrico, che avverrà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un</w:t>
      </w:r>
      <w:r>
        <w:rPr>
          <w:rFonts w:ascii="Times New Roman" w:hAnsi="Times New Roman"/>
          <w:sz w:val="24"/>
          <w:szCs w:val="24"/>
        </w:rPr>
        <w:t>a data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futur</w:t>
      </w:r>
      <w:r>
        <w:rPr>
          <w:rFonts w:ascii="Times New Roman" w:hAnsi="Times New Roman"/>
          <w:sz w:val="24"/>
          <w:szCs w:val="24"/>
        </w:rPr>
        <w:t>a fissata</w:t>
      </w:r>
      <w:r>
        <w:rPr>
          <w:rFonts w:ascii="Times New Roman" w:hAnsi="Times New Roman"/>
          <w:sz w:val="24"/>
          <w:szCs w:val="24"/>
        </w:rPr>
        <w:t xml:space="preserve"> ad un prezzo </w:t>
      </w:r>
      <w:r>
        <w:rPr>
          <w:rFonts w:ascii="Times New Roman" w:hAnsi="Times New Roman"/>
          <w:sz w:val="24"/>
          <w:szCs w:val="24"/>
        </w:rPr>
        <w:t>predeterminato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Acquisendo il diritto di acquisto il </w:t>
      </w:r>
      <w:r>
        <w:rPr>
          <w:rFonts w:ascii="Times New Roman" w:hAnsi="Times New Roman"/>
          <w:sz w:val="24"/>
          <w:szCs w:val="24"/>
        </w:rPr>
        <w:t>compratore</w:t>
      </w:r>
      <w:r>
        <w:rPr>
          <w:rFonts w:ascii="Times New Roman" w:hAnsi="Times New Roman"/>
          <w:sz w:val="24"/>
          <w:szCs w:val="24"/>
        </w:rPr>
        <w:t xml:space="preserve"> ha come obiettivo il trarre profitto da un aumento del prezzo  </w:t>
      </w:r>
      <w:r>
        <w:rPr>
          <w:rFonts w:ascii="Times New Roman" w:hAnsi="Times New Roman"/>
          <w:sz w:val="24"/>
          <w:szCs w:val="24"/>
        </w:rPr>
        <w:t>dell’acqua</w:t>
      </w:r>
      <w:r>
        <w:rPr>
          <w:rFonts w:ascii="Times New Roman" w:hAnsi="Times New Roman"/>
          <w:sz w:val="24"/>
          <w:szCs w:val="24"/>
        </w:rPr>
        <w:t xml:space="preserve">, viceversa acquistando il diritto di vendita, il </w:t>
      </w:r>
      <w:r>
        <w:rPr>
          <w:rFonts w:ascii="Times New Roman" w:hAnsi="Times New Roman"/>
          <w:sz w:val="24"/>
          <w:szCs w:val="24"/>
        </w:rPr>
        <w:t>compratore</w:t>
      </w:r>
      <w:r>
        <w:rPr>
          <w:rFonts w:ascii="Times New Roman" w:hAnsi="Times New Roman"/>
          <w:sz w:val="24"/>
          <w:szCs w:val="24"/>
        </w:rPr>
        <w:t xml:space="preserve"> trarrà profitto da un eventuale diminuzione 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prezzo.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Tecnicamente il</w:t>
      </w:r>
      <w:r>
        <w:rPr>
          <w:rFonts w:ascii="Times New Roman" w:hAnsi="Times New Roman"/>
          <w:sz w:val="24"/>
          <w:szCs w:val="24"/>
        </w:rPr>
        <w:t xml:space="preserve"> valore dell'indice riflette il prezzo medio ponderato per volume dell'acqua </w:t>
      </w:r>
      <w:r>
        <w:rPr>
          <w:rFonts w:ascii="Times New Roman" w:hAnsi="Times New Roman"/>
          <w:sz w:val="24"/>
          <w:szCs w:val="24"/>
        </w:rPr>
        <w:t>e viene valutato</w:t>
      </w:r>
      <w:r>
        <w:rPr>
          <w:rFonts w:ascii="Times New Roman" w:hAnsi="Times New Roman"/>
          <w:sz w:val="24"/>
          <w:szCs w:val="24"/>
        </w:rPr>
        <w:t xml:space="preserve"> in dollari per </w:t>
      </w:r>
      <w:r>
        <w:rPr>
          <w:rFonts w:ascii="Times New Roman" w:hAnsi="Times New Roman"/>
          <w:i/>
          <w:iCs/>
          <w:sz w:val="24"/>
          <w:szCs w:val="24"/>
        </w:rPr>
        <w:t xml:space="preserve">acre foot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(ovvero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il volume d'acqua necessario per coprire un acro di terra </w:t>
      </w:r>
      <w:r>
        <w:rPr>
          <w:rFonts w:ascii="Times New Roman" w:hAnsi="Times New Roman"/>
          <w:i w:val="false"/>
          <w:iCs w:val="false"/>
          <w:sz w:val="24"/>
          <w:szCs w:val="24"/>
        </w:rPr>
        <w:t>per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una profondità di un piede</w:t>
      </w:r>
      <w:r>
        <w:rPr>
          <w:rFonts w:ascii="Times New Roman" w:hAnsi="Times New Roman"/>
          <w:i w:val="false"/>
          <w:iCs w:val="false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1 </w:t>
      </w:r>
      <w:r>
        <w:rPr>
          <w:rFonts w:ascii="Times New Roman" w:hAnsi="Times New Roman"/>
          <w:i/>
          <w:iCs/>
          <w:sz w:val="24"/>
          <w:szCs w:val="24"/>
        </w:rPr>
        <w:t>acre foot</w:t>
      </w:r>
      <w:r>
        <w:rPr>
          <w:rFonts w:ascii="Times New Roman" w:hAnsi="Times New Roman"/>
          <w:sz w:val="24"/>
          <w:szCs w:val="24"/>
        </w:rPr>
        <w:t xml:space="preserve"> equivale a circa 12.000 ettolitri (1.200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 di acqua.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L’andamento del titolo si può vedere a questo link:</w:t>
      </w:r>
    </w:p>
    <w:p>
      <w:pPr>
        <w:pStyle w:val="Normal"/>
        <w:bidi w:val="0"/>
        <w:jc w:val="both"/>
        <w:rPr/>
      </w:pPr>
      <w:hyperlink r:id="rId3">
        <w:r>
          <w:rPr>
            <w:rStyle w:val="CollegamentoInternet"/>
            <w:rFonts w:ascii="Times New Roman" w:hAnsi="Times New Roman"/>
            <w:sz w:val="24"/>
            <w:szCs w:val="24"/>
          </w:rPr>
          <w:t>https://www.nasdaq.com/market-activity/index/nqh2o</w:t>
        </w:r>
      </w:hyperlink>
      <w:r>
        <w:rPr>
          <w:rFonts w:ascii="Times New Roman" w:hAnsi="Times New Roman"/>
          <w:sz w:val="24"/>
          <w:szCs w:val="24"/>
        </w:rPr>
        <w:t xml:space="preserve"> a settembre 2021 il valore è di circa 900 $.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Perché l’acqua è stata quotata in borsa?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motivazione ufficiale </w:t>
      </w:r>
      <w:r>
        <w:rPr>
          <w:rFonts w:ascii="Times New Roman" w:hAnsi="Times New Roman"/>
          <w:sz w:val="24"/>
          <w:szCs w:val="24"/>
        </w:rPr>
        <w:t xml:space="preserve">fornita dalla CME – Chicago Mercantile Exchange, </w:t>
      </w:r>
      <w:r>
        <w:rPr>
          <w:rFonts w:ascii="Times New Roman" w:hAnsi="Times New Roman"/>
          <w:sz w:val="24"/>
          <w:szCs w:val="24"/>
        </w:rPr>
        <w:t xml:space="preserve">soggetto </w:t>
      </w:r>
      <w:r>
        <w:rPr>
          <w:rFonts w:ascii="Times New Roman" w:hAnsi="Times New Roman"/>
          <w:sz w:val="24"/>
          <w:szCs w:val="24"/>
        </w:rPr>
        <w:t xml:space="preserve">che l’ha quotata,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che a</w:t>
      </w:r>
      <w:r>
        <w:rPr>
          <w:rFonts w:ascii="Times New Roman" w:hAnsi="Times New Roman"/>
          <w:sz w:val="24"/>
          <w:szCs w:val="24"/>
        </w:rPr>
        <w:t xml:space="preserve">d oggi, i partecipanti al mercato </w:t>
      </w:r>
      <w:r>
        <w:rPr>
          <w:rFonts w:ascii="Times New Roman" w:hAnsi="Times New Roman"/>
          <w:sz w:val="24"/>
          <w:szCs w:val="24"/>
        </w:rPr>
        <w:t xml:space="preserve">dell’acqua </w:t>
      </w:r>
      <w:r>
        <w:rPr>
          <w:rFonts w:ascii="Times New Roman" w:hAnsi="Times New Roman"/>
          <w:sz w:val="24"/>
          <w:szCs w:val="24"/>
        </w:rPr>
        <w:t>non hanno avuto un prodotto valido per gestire il rischio d</w:t>
      </w:r>
      <w:r>
        <w:rPr>
          <w:rFonts w:ascii="Times New Roman" w:hAnsi="Times New Roman"/>
          <w:sz w:val="24"/>
          <w:szCs w:val="24"/>
        </w:rPr>
        <w:t>elle variazioni di</w:t>
      </w:r>
      <w:r>
        <w:rPr>
          <w:rFonts w:ascii="Times New Roman" w:hAnsi="Times New Roman"/>
          <w:sz w:val="24"/>
          <w:szCs w:val="24"/>
        </w:rPr>
        <w:t xml:space="preserve"> prezzo </w:t>
      </w:r>
      <w:r>
        <w:rPr>
          <w:rFonts w:ascii="Times New Roman" w:hAnsi="Times New Roman"/>
          <w:sz w:val="24"/>
          <w:szCs w:val="24"/>
        </w:rPr>
        <w:t>causato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alla scarsità di questa risorsa vitale. </w:t>
      </w:r>
      <w:r>
        <w:rPr>
          <w:rFonts w:ascii="Times New Roman" w:hAnsi="Times New Roman"/>
          <w:sz w:val="24"/>
          <w:szCs w:val="24"/>
        </w:rPr>
        <w:t>La CME</w:t>
      </w:r>
      <w:r>
        <w:rPr>
          <w:rFonts w:ascii="Times New Roman" w:hAnsi="Times New Roman"/>
          <w:sz w:val="24"/>
          <w:szCs w:val="24"/>
        </w:rPr>
        <w:t xml:space="preserve"> auspica</w:t>
      </w:r>
      <w:r>
        <w:rPr>
          <w:rFonts w:ascii="Times New Roman" w:hAnsi="Times New Roman"/>
          <w:sz w:val="24"/>
          <w:szCs w:val="24"/>
        </w:rPr>
        <w:t xml:space="preserve"> che introducendo un contratto </w:t>
      </w:r>
      <w:r>
        <w:rPr>
          <w:rFonts w:ascii="Times New Roman" w:hAnsi="Times New Roman"/>
          <w:i/>
          <w:iCs/>
          <w:sz w:val="24"/>
          <w:szCs w:val="24"/>
        </w:rPr>
        <w:t>future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basato sul</w:t>
      </w:r>
      <w:r>
        <w:rPr>
          <w:rFonts w:ascii="Times New Roman" w:hAnsi="Times New Roman"/>
          <w:sz w:val="24"/>
          <w:szCs w:val="24"/>
        </w:rPr>
        <w:t xml:space="preserve"> prezzo dell’acqua in California, i partecipanti a questo mercato saranno in grado di coprire in modo efficiente la propria esposizione </w:t>
      </w:r>
      <w:r>
        <w:rPr>
          <w:rFonts w:ascii="Times New Roman" w:hAnsi="Times New Roman"/>
          <w:sz w:val="24"/>
          <w:szCs w:val="24"/>
        </w:rPr>
        <w:t>al rischio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4"/>
          <w:szCs w:val="24"/>
        </w:rPr>
        <w:t xml:space="preserve">futures,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</w:rPr>
        <w:t>infatti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sarebbero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stati inventati per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evitare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la volatilità dei prezzi dei prodotti finanziari;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sappiamo che invece hanno contribuito a produrre disastri compresa la crisi finanziaria del 2007.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Quali le conseguenze?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tratta del primo derivato finanziario legato all’acqua; </w:t>
      </w:r>
      <w:r>
        <w:rPr>
          <w:rFonts w:ascii="Times New Roman" w:hAnsi="Times New Roman"/>
          <w:sz w:val="24"/>
          <w:szCs w:val="24"/>
        </w:rPr>
        <w:t>la fonte di vita diventa quindi uno strumento speculativo ed entra nelle dinamiche finanziare astratte sganciate dalla realtà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titoli che rappresentano il costo dell’acqua, </w:t>
      </w:r>
      <w:r>
        <w:rPr>
          <w:rFonts w:ascii="Times New Roman" w:hAnsi="Times New Roman"/>
          <w:sz w:val="24"/>
          <w:szCs w:val="24"/>
        </w:rPr>
        <w:t>verranno “aggregati”</w:t>
      </w:r>
      <w:r>
        <w:rPr>
          <w:rFonts w:ascii="Times New Roman" w:hAnsi="Times New Roman"/>
          <w:sz w:val="24"/>
          <w:szCs w:val="24"/>
        </w:rPr>
        <w:t xml:space="preserve"> in pacchetti di investimento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immessi nel commercio globale della finanza, </w:t>
      </w:r>
      <w:r>
        <w:rPr>
          <w:rFonts w:ascii="Times New Roman" w:hAnsi="Times New Roman"/>
          <w:sz w:val="24"/>
          <w:szCs w:val="24"/>
        </w:rPr>
        <w:t xml:space="preserve">saranno </w:t>
      </w:r>
      <w:r>
        <w:rPr>
          <w:rFonts w:ascii="Times New Roman" w:hAnsi="Times New Roman"/>
          <w:sz w:val="24"/>
          <w:szCs w:val="24"/>
        </w:rPr>
        <w:t xml:space="preserve">veduti e rivenduti, </w:t>
      </w:r>
      <w:r>
        <w:rPr>
          <w:rFonts w:ascii="Times New Roman" w:hAnsi="Times New Roman"/>
          <w:sz w:val="24"/>
          <w:szCs w:val="24"/>
        </w:rPr>
        <w:t xml:space="preserve">inseriti nei listini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 fondi di investimento alla pari di altri </w:t>
      </w:r>
      <w:r>
        <w:rPr>
          <w:rFonts w:ascii="Times New Roman" w:hAnsi="Times New Roman"/>
          <w:sz w:val="24"/>
          <w:szCs w:val="24"/>
        </w:rPr>
        <w:t>prodotti finanziari.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si scambiano i </w:t>
      </w:r>
      <w:r>
        <w:rPr>
          <w:rFonts w:ascii="Times New Roman" w:hAnsi="Times New Roman"/>
          <w:i/>
          <w:iCs/>
          <w:sz w:val="24"/>
          <w:szCs w:val="24"/>
        </w:rPr>
        <w:t>futures</w:t>
      </w:r>
      <w:r>
        <w:rPr>
          <w:rFonts w:ascii="Times New Roman" w:hAnsi="Times New Roman"/>
          <w:sz w:val="24"/>
          <w:szCs w:val="24"/>
        </w:rPr>
        <w:t xml:space="preserve"> non c’è uno scambio reale di un bene, l’acqua in questa caso, ma un continuo cambio di acquirenti e venditori con conseguenti cambi di prezzo che generano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profitti </w:t>
      </w:r>
      <w:r>
        <w:rPr>
          <w:rFonts w:ascii="Times New Roman" w:hAnsi="Times New Roman"/>
          <w:sz w:val="24"/>
          <w:szCs w:val="24"/>
        </w:rPr>
        <w:t>non collegati con l’economia reale. In questo modo un bene essenziale alla vita, un diritto umano diventa uno strumento al servizio del profitto speculativo.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 saperne di più:</w:t>
      </w:r>
    </w:p>
    <w:p>
      <w:pPr>
        <w:pStyle w:val="Normal"/>
        <w:bidi w:val="0"/>
        <w:jc w:val="left"/>
        <w:rPr/>
      </w:pPr>
      <w:hyperlink r:id="rId4">
        <w:r>
          <w:rPr>
            <w:rStyle w:val="CollegamentoInternet"/>
            <w:rFonts w:ascii="Times New Roman" w:hAnsi="Times New Roman"/>
            <w:sz w:val="24"/>
            <w:szCs w:val="24"/>
          </w:rPr>
          <w:t xml:space="preserve">L’acqua, “the ultimate commodity”, è entrata in borsa. Povera acqua! </w:t>
        </w:r>
        <w:r>
          <w:rPr>
            <w:rStyle w:val="CollegamentoInternet"/>
            <w:rFonts w:ascii="Times New Roman" w:hAnsi="Times New Roman"/>
            <w:sz w:val="24"/>
            <w:szCs w:val="24"/>
          </w:rPr>
          <w:t>di Riccardo Petrella</w:t>
        </w:r>
      </w:hyperlink>
    </w:p>
    <w:p>
      <w:pPr>
        <w:pStyle w:val="Normal"/>
        <w:bidi w:val="0"/>
        <w:jc w:val="left"/>
        <w:rPr/>
      </w:pPr>
      <w:hyperlink r:id="rId5">
        <w:r>
          <w:rPr>
            <w:rStyle w:val="CollegamentoInternet"/>
            <w:rFonts w:ascii="Times New Roman" w:hAnsi="Times New Roman"/>
            <w:sz w:val="24"/>
            <w:szCs w:val="24"/>
          </w:rPr>
          <w:t>California una questione di liquido, di Luca Celada</w:t>
        </w:r>
      </w:hyperlink>
    </w:p>
    <w:p>
      <w:pPr>
        <w:pStyle w:val="Normal"/>
        <w:bidi w:val="0"/>
        <w:jc w:val="left"/>
        <w:rPr/>
      </w:pPr>
      <w:r>
        <w:fldChar w:fldCharType="begin"/>
      </w:r>
      <w:r>
        <w:rPr>
          <w:rStyle w:val="CollegamentoInternet"/>
          <w:sz w:val="24"/>
          <w:szCs w:val="24"/>
          <w:rFonts w:ascii="Times New Roman" w:hAnsi="Times New Roman"/>
        </w:rPr>
        <w:instrText> HYPERLINK "https://www.cmegroup.com/education/articles-and-reports/nasdaq-veles-california-water-index-futures-faq.html" \l "futures"</w:instrText>
      </w:r>
      <w:r>
        <w:rPr>
          <w:rStyle w:val="CollegamentoInternet"/>
          <w:sz w:val="24"/>
          <w:szCs w:val="24"/>
          <w:rFonts w:ascii="Times New Roman" w:hAnsi="Times New Roman"/>
        </w:rPr>
        <w:fldChar w:fldCharType="separate"/>
      </w:r>
      <w:r>
        <w:rPr>
          <w:rStyle w:val="CollegamentoInternet"/>
          <w:rFonts w:ascii="Times New Roman" w:hAnsi="Times New Roman"/>
          <w:sz w:val="24"/>
          <w:szCs w:val="24"/>
        </w:rPr>
        <w:t>Nasdaq Veles California Water Index Futures ‒ Frequently Asked Questions</w:t>
      </w:r>
      <w:r>
        <w:rPr>
          <w:rStyle w:val="CollegamentoInternet"/>
          <w:sz w:val="24"/>
          <w:szCs w:val="24"/>
          <w:rFonts w:ascii="Times New Roman" w:hAnsi="Times New Roman"/>
        </w:rPr>
        <w:fldChar w:fldCharType="end"/>
      </w:r>
    </w:p>
    <w:p>
      <w:pPr>
        <w:pStyle w:val="Normal"/>
        <w:bidi w:val="0"/>
        <w:jc w:val="left"/>
        <w:rPr/>
      </w:pPr>
      <w:hyperlink r:id="rId6">
        <w:r>
          <w:rPr>
            <w:rStyle w:val="CollegamentoInternet"/>
            <w:rFonts w:ascii="Times New Roman" w:hAnsi="Times New Roman"/>
            <w:sz w:val="24"/>
            <w:szCs w:val="24"/>
          </w:rPr>
          <w:t>Quotazione dell’indic</w:t>
        </w:r>
        <w:r>
          <w:rPr>
            <w:rStyle w:val="CollegamentoInternet"/>
            <w:rFonts w:ascii="Times New Roman" w:hAnsi="Times New Roman"/>
            <w:sz w:val="24"/>
            <w:szCs w:val="24"/>
          </w:rPr>
          <w:t>e</w:t>
        </w:r>
        <w:r>
          <w:rPr>
            <w:rStyle w:val="CollegamentoInternet"/>
            <w:rFonts w:ascii="Times New Roman" w:hAnsi="Times New Roman"/>
            <w:sz w:val="24"/>
            <w:szCs w:val="24"/>
          </w:rPr>
          <w:t xml:space="preserve"> NQH2O</w:t>
        </w:r>
      </w:hyperlink>
    </w:p>
    <w:p>
      <w:pPr>
        <w:sectPr>
          <w:type w:val="continuous"/>
          <w:pgSz w:w="11906" w:h="16838"/>
          <w:pgMar w:left="1134" w:right="1134" w:header="0" w:top="1134" w:footer="1134" w:bottom="1982" w:gutter="0"/>
          <w:cols w:num="2" w:space="282" w:equalWidth="true" w:sep="false"/>
          <w:formProt w:val="false"/>
          <w:textDirection w:val="lrTb"/>
        </w:sectPr>
      </w:pPr>
    </w:p>
    <w:sectPr>
      <w:footerReference w:type="default" r:id="rId7"/>
      <w:type w:val="continuous"/>
      <w:pgSz w:w="11906" w:h="16838"/>
      <w:pgMar w:left="1134" w:right="1134" w:header="0" w:top="1134" w:footer="1134" w:bottom="198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left"/>
      <w:rPr/>
    </w:pPr>
    <w:r>
      <w:rPr>
        <w:sz w:val="22"/>
        <w:szCs w:val="22"/>
      </w:rPr>
      <w:t>Scheda redatta da:</w:t>
    </w:r>
  </w:p>
  <w:p>
    <w:pPr>
      <w:pStyle w:val="Normal"/>
      <w:bidi w:val="0"/>
      <w:jc w:val="left"/>
      <w:rPr/>
    </w:pPr>
    <w:r>
      <w:rPr>
        <w:sz w:val="22"/>
        <w:szCs w:val="22"/>
      </w:rPr>
      <w:t xml:space="preserve">CeVI – Centro di Volontariato Internazionale - </w:t>
    </w:r>
    <w:hyperlink r:id="rId1">
      <w:r>
        <w:rPr>
          <w:rStyle w:val="CollegamentoInternet"/>
          <w:sz w:val="22"/>
          <w:szCs w:val="22"/>
        </w:rPr>
        <w:t>www.cevi.ngo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left"/>
      <w:rPr/>
    </w:pPr>
    <w:r>
      <w:rPr>
        <w:sz w:val="22"/>
        <w:szCs w:val="22"/>
      </w:rPr>
      <w:t>Scheda redatta da:</w:t>
    </w:r>
  </w:p>
  <w:p>
    <w:pPr>
      <w:pStyle w:val="Normal"/>
      <w:bidi w:val="0"/>
      <w:jc w:val="left"/>
      <w:rPr/>
    </w:pPr>
    <w:r>
      <w:rPr>
        <w:sz w:val="22"/>
        <w:szCs w:val="22"/>
      </w:rPr>
      <w:t xml:space="preserve">CeVI – Centro di Volontariato Internazionale - </w:t>
    </w:r>
    <w:hyperlink r:id="rId1">
      <w:r>
        <w:rPr>
          <w:rStyle w:val="CollegamentoInternet"/>
          <w:sz w:val="22"/>
          <w:szCs w:val="22"/>
        </w:rPr>
        <w:t>www.cevi.ngo</w:t>
      </w:r>
    </w:hyperlink>
  </w:p>
</w:ftr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www.nasdaq.com/market-activity/index/nqh2o" TargetMode="External"/><Relationship Id="rId4" Type="http://schemas.openxmlformats.org/officeDocument/2006/relationships/hyperlink" Target="https://www.cipsi.it/2020/12/lacqua-the-ultimate-commodity-e-entrata-in-borsa-povera-acqua/" TargetMode="External"/><Relationship Id="rId5" Type="http://schemas.openxmlformats.org/officeDocument/2006/relationships/hyperlink" Target="https://ilmanifesto.it/california-una-questione-di-liquido/" TargetMode="External"/><Relationship Id="rId6" Type="http://schemas.openxmlformats.org/officeDocument/2006/relationships/hyperlink" Target="https://www.nasdaq.com/market-activity/index/nqh2o" TargetMode="Externa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evi.ngo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evi.ngo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LibreOffice/7.1.2.2$Windows_X86_64 LibreOffice_project/8a45595d069ef5570103caea1b71cc9d82b2aae4</Application>
  <AppVersion>15.0000</AppVersion>
  <Pages>1</Pages>
  <Words>531</Words>
  <Characters>2962</Characters>
  <CharactersWithSpaces>3471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2021-09-23T10:35:06Z</dcterms:created>
  <dc:creator/>
  <dc:description/>
  <dc:language>it-IT</dc:language>
  <cp:lastModifiedBy/>
  <dcterms:modified xsi:type="dcterms:W3CDTF">2021-09-23T12:48:44Z</dcterms:modified>
  <cp:revision>32</cp:revision>
  <dc:subject/>
  <dc:title/>
</cp:coreProperties>
</file>